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10A" w:rsidRDefault="003A610A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1E2773" w:rsidRDefault="001E2773" w:rsidP="003A610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825"/>
        <w:gridCol w:w="38"/>
        <w:gridCol w:w="850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3A610A" w:rsidRPr="00FB46BC" w:rsidTr="003A610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FB46BC" w:rsidRDefault="004C34A2" w:rsidP="003A610A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Strateški menadžment</w:t>
            </w:r>
          </w:p>
        </w:tc>
      </w:tr>
      <w:tr w:rsidR="003A610A" w:rsidRPr="00FB46BC" w:rsidTr="00AE72F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C34A2">
              <w:rPr>
                <w:rFonts w:ascii="Times New Roman" w:hAnsi="Times New Roman"/>
                <w:sz w:val="20"/>
                <w:szCs w:val="20"/>
                <w:lang w:val="en-US"/>
              </w:rPr>
              <w:t>EUB304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(diplomski sveučilišni studij)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Style w:val="Strong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Prof. dr. sc. Želimir Dulčić</w:t>
            </w:r>
          </w:p>
          <w:p w:rsidR="007578C1" w:rsidRPr="007578C1" w:rsidRDefault="007578C1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7578C1">
              <w:rPr>
                <w:rFonts w:ascii="Times New Roman" w:hAnsi="Times New Roman"/>
                <w:color w:val="FF0000"/>
                <w:sz w:val="20"/>
                <w:szCs w:val="20"/>
              </w:rPr>
              <w:t>Doc. dr. sc. Anita Talaja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DC2994" w:rsidRDefault="00DC2994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DC2994">
              <w:rPr>
                <w:rFonts w:ascii="Times New Roman" w:hAnsi="Times New Roman"/>
                <w:color w:val="FF0000"/>
                <w:sz w:val="20"/>
                <w:szCs w:val="20"/>
              </w:rPr>
              <w:t>5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3A610A" w:rsidRPr="00FB46BC" w:rsidTr="003A610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4C34A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Obvezni</w:t>
            </w:r>
            <w:r w:rsidR="00F470F2">
              <w:rPr>
                <w:rFonts w:ascii="Times New Roman" w:hAnsi="Times New Roman"/>
                <w:sz w:val="20"/>
                <w:szCs w:val="20"/>
              </w:rPr>
              <w:t xml:space="preserve"> i 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AD6BEB" w:rsidRDefault="007578C1" w:rsidP="003A610A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D6BEB">
              <w:rPr>
                <w:rFonts w:ascii="Times New Roman" w:hAnsi="Times New Roman"/>
                <w:color w:val="FF0000"/>
                <w:sz w:val="20"/>
                <w:szCs w:val="20"/>
              </w:rPr>
              <w:t>30</w:t>
            </w:r>
            <w:r w:rsidR="004C34A2" w:rsidRPr="00AD6BEB">
              <w:rPr>
                <w:rFonts w:ascii="Times New Roman" w:hAnsi="Times New Roman"/>
                <w:color w:val="FF0000"/>
                <w:sz w:val="20"/>
                <w:szCs w:val="20"/>
              </w:rPr>
              <w:t>%</w:t>
            </w:r>
          </w:p>
        </w:tc>
      </w:tr>
      <w:tr w:rsidR="003A610A" w:rsidRPr="00FB46BC" w:rsidTr="003A610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70316" w:rsidP="00A015B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Cilj predmeta je </w:t>
            </w:r>
            <w:r w:rsidR="00A015BF">
              <w:rPr>
                <w:rFonts w:ascii="Times New Roman" w:hAnsi="Times New Roman"/>
                <w:sz w:val="20"/>
                <w:szCs w:val="20"/>
              </w:rPr>
              <w:t>upoznati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polaznike </w:t>
            </w:r>
            <w:r w:rsidR="00A015BF">
              <w:rPr>
                <w:rFonts w:ascii="Times New Roman" w:hAnsi="Times New Roman"/>
                <w:sz w:val="20"/>
                <w:szCs w:val="20"/>
              </w:rPr>
              <w:t>s teorijskim konceptima strateškog menadžmenta te im omogućiti r</w:t>
            </w:r>
            <w:r w:rsidR="00F470F2" w:rsidRPr="00F470F2">
              <w:rPr>
                <w:rFonts w:ascii="Times New Roman" w:hAnsi="Times New Roman"/>
                <w:sz w:val="20"/>
                <w:szCs w:val="20"/>
              </w:rPr>
              <w:t>azumijevanje procesa strateškog managementa</w:t>
            </w:r>
            <w:r w:rsidR="00A015B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A7ADE" w:rsidRDefault="00CA7ADE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ADE">
              <w:rPr>
                <w:rFonts w:ascii="Times New Roman" w:hAnsi="Times New Roman"/>
                <w:sz w:val="20"/>
                <w:szCs w:val="20"/>
              </w:rPr>
              <w:t>Ishod učenja predmeta:</w:t>
            </w:r>
          </w:p>
          <w:p w:rsidR="00CA7ADE" w:rsidRPr="00CA7ADE" w:rsidRDefault="00CA7ADE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Usporediti i valorizirati različite pristupe</w:t>
            </w:r>
            <w:r w:rsidRPr="00CA7ADE">
              <w:rPr>
                <w:rFonts w:ascii="Times New Roman" w:hAnsi="Times New Roman"/>
                <w:sz w:val="20"/>
                <w:szCs w:val="20"/>
              </w:rPr>
              <w:t xml:space="preserve"> proces</w:t>
            </w:r>
            <w:r>
              <w:rPr>
                <w:rFonts w:ascii="Times New Roman" w:hAnsi="Times New Roman"/>
                <w:sz w:val="20"/>
                <w:szCs w:val="20"/>
              </w:rPr>
              <w:t>u</w:t>
            </w:r>
            <w:r w:rsidRPr="00CA7ADE">
              <w:rPr>
                <w:rFonts w:ascii="Times New Roman" w:hAnsi="Times New Roman"/>
                <w:sz w:val="20"/>
                <w:szCs w:val="20"/>
              </w:rPr>
              <w:t xml:space="preserve"> strateškog managementa kao metode upravljanja budućnošću poduzeća. </w:t>
            </w:r>
          </w:p>
          <w:p w:rsidR="00CA7ADE" w:rsidRPr="00CA7ADE" w:rsidRDefault="00CA7ADE" w:rsidP="00CA7ADE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A7ADE">
              <w:rPr>
                <w:rFonts w:ascii="Times New Roman" w:hAnsi="Times New Roman"/>
                <w:sz w:val="20"/>
                <w:szCs w:val="20"/>
              </w:rPr>
              <w:t>Pojedinačni ishodi učenja:</w:t>
            </w:r>
          </w:p>
          <w:p w:rsidR="00225529" w:rsidRDefault="00225529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5529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A859CB" w:rsidRPr="00A859CB">
              <w:rPr>
                <w:rFonts w:ascii="Times New Roman" w:hAnsi="Times New Roman"/>
                <w:sz w:val="20"/>
                <w:szCs w:val="20"/>
              </w:rPr>
              <w:t>Utvrditi faze procesa, pojmove i modele strateškog menadžmenta.</w:t>
            </w:r>
          </w:p>
          <w:p w:rsidR="00225529" w:rsidRDefault="00225529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5529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859CB" w:rsidRPr="00A859CB">
              <w:rPr>
                <w:rFonts w:ascii="Times New Roman" w:hAnsi="Times New Roman"/>
                <w:sz w:val="20"/>
                <w:szCs w:val="20"/>
              </w:rPr>
              <w:t>Klasificirati elemente i metode analize eksterne okoline poduzeća.</w:t>
            </w:r>
          </w:p>
          <w:p w:rsidR="004C34A2" w:rsidRPr="004C34A2" w:rsidRDefault="00225529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5529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="00A859CB" w:rsidRPr="00A859CB">
              <w:rPr>
                <w:rFonts w:ascii="Times New Roman" w:hAnsi="Times New Roman"/>
                <w:sz w:val="20"/>
                <w:szCs w:val="20"/>
              </w:rPr>
              <w:t>Procijeniti strukturu industrije i konkurentski položaj poduzeća u industriji.</w:t>
            </w:r>
          </w:p>
          <w:p w:rsidR="00225529" w:rsidRDefault="00225529" w:rsidP="004C34A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25529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="00A859CB" w:rsidRPr="00A859CB">
              <w:rPr>
                <w:rFonts w:ascii="Times New Roman" w:hAnsi="Times New Roman"/>
                <w:sz w:val="20"/>
                <w:szCs w:val="20"/>
              </w:rPr>
              <w:t>Valorizirati resurse poduzeća i njihovu povezanost</w:t>
            </w:r>
            <w:r w:rsidR="00A859CB">
              <w:rPr>
                <w:rFonts w:ascii="Times New Roman" w:hAnsi="Times New Roman"/>
                <w:sz w:val="20"/>
                <w:szCs w:val="20"/>
              </w:rPr>
              <w:t xml:space="preserve"> sa strategijom poduzeća</w:t>
            </w:r>
            <w:r w:rsidRPr="00225529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A610A" w:rsidRDefault="00225529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r w:rsidR="00A859CB" w:rsidRPr="00A859CB">
              <w:rPr>
                <w:rFonts w:ascii="Times New Roman" w:hAnsi="Times New Roman"/>
                <w:sz w:val="20"/>
                <w:szCs w:val="20"/>
              </w:rPr>
              <w:t>Utvrditi faze procesa strateškog menadžmenta, odnosno formulaciju, implementaciju i kontrolu.</w:t>
            </w:r>
          </w:p>
          <w:p w:rsidR="00A859CB" w:rsidRPr="00FB46BC" w:rsidRDefault="00A859CB" w:rsidP="009379C6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r w:rsidRPr="00A859CB">
              <w:rPr>
                <w:rFonts w:ascii="Times New Roman" w:hAnsi="Times New Roman"/>
                <w:sz w:val="20"/>
                <w:szCs w:val="20"/>
              </w:rPr>
              <w:t>Razlikovati tipove poslovne, korporacijske strategije te strategije društvene odgovornosti.</w:t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835"/>
              <w:gridCol w:w="630"/>
              <w:gridCol w:w="2914"/>
              <w:gridCol w:w="551"/>
            </w:tblGrid>
            <w:tr w:rsidR="00F470F2" w:rsidRPr="00A93794" w:rsidTr="00A93794">
              <w:tc>
                <w:tcPr>
                  <w:tcW w:w="493" w:type="dxa"/>
                  <w:vMerge w:val="restart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465" w:type="dxa"/>
                  <w:gridSpan w:val="2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465" w:type="dxa"/>
                  <w:gridSpan w:val="2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  <w:vMerge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914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Upoznavanje s konceptom</w:t>
                  </w:r>
                </w:p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predmeta, literaturom, oblicima</w:t>
                  </w:r>
                </w:p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provjere znanja, provedbom ispita.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825213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Dogovor o načinu realizacije vježbi. Prezentiranje načina izrade studija slučajeva i formiranje timova.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Definiranje pojmova vezanih uz</w:t>
                  </w:r>
                </w:p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strateški management. Proces</w:t>
                  </w:r>
                </w:p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strateškog managementa.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825213" w:rsidRPr="00A93794" w:rsidRDefault="00825213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Prezentacije izabranih studija</w:t>
                  </w:r>
                </w:p>
                <w:p w:rsidR="00F470F2" w:rsidRPr="00A93794" w:rsidRDefault="00825213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Osnove analize okoline. Struktura</w:t>
                  </w:r>
                  <w:r w:rsidR="00825213"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</w:t>
                  </w: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okoline. Opća ili socijalna okolina.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825213" w:rsidRPr="00A93794" w:rsidRDefault="00825213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Gostovanje uglednih</w:t>
                  </w:r>
                </w:p>
                <w:p w:rsidR="00F470F2" w:rsidRPr="00A93794" w:rsidRDefault="00825213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gospodarstvenika – stratega.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Poslovna okolina ili okolina zadatka. Interna okolina.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825213" w:rsidRPr="00A93794" w:rsidRDefault="00825213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– analiza izabranih</w:t>
                  </w:r>
                </w:p>
                <w:p w:rsidR="00F470F2" w:rsidRPr="00A93794" w:rsidRDefault="00825213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 iz gospodarske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opće ili socijalne okoline.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825213" w:rsidRPr="00A93794" w:rsidRDefault="00825213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Izučavanje – analiza izabranih</w:t>
                  </w:r>
                </w:p>
                <w:p w:rsidR="00F470F2" w:rsidRPr="00A93794" w:rsidRDefault="00825213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slučajeva iz gospodarske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Metode i tehnike analize poslovne okoline</w:t>
                  </w:r>
                  <w:r w:rsidR="00B712F0"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 xml:space="preserve"> ili okoline zadatka</w:t>
                  </w: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1.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Metode i tehnike analize interne okoline.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Prezentacije studentskih slučajeva iz gospodarske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Osmišljavanje vizije i misije. Utvrđivanje ciljeva.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Prezentacije studentskih slučajeva iz gospodarske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</w:tcPr>
                <w:p w:rsidR="00F470F2" w:rsidRPr="00A93794" w:rsidRDefault="00F470F2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Poslovne strategije – tipovi</w:t>
                  </w:r>
                </w:p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Gostovanje uglednih gospodarstvenika iz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2835" w:type="dxa"/>
                </w:tcPr>
                <w:p w:rsidR="00B712F0" w:rsidRPr="00A93794" w:rsidRDefault="00B712F0" w:rsidP="00A937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Korporacijske strategije – tipovi</w:t>
                  </w:r>
                </w:p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  <w:lang w:eastAsia="hr-HR"/>
                    </w:rPr>
                    <w:t>strategija i njihove značajke.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Prezentacija izabranih knjiga iz područja strateškog menadžmenta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Strategija društvene odgovornosti – osnovne značajke i načela.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Prezentacije knjiga i članaka vezanih uz društvenu odgovornost.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Formuliranje strategije. Strateški izbor. Kriteriji odabira.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Posjet izabranoj organizaciji i prezentacija njezine strateške analize.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 xml:space="preserve">Implementacija strategije putem funkcijskih strategija. Strategije promjena. 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 xml:space="preserve">Posjet izabranoj organizaciji i prezentacija prijedloga za njezino strateško unapređenje. 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Implementacija strategije putem strukture, vodstva, kulture i nagrađivanja.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Provjera znanja – test broj 2.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A93794" w:rsidRPr="00A93794" w:rsidTr="00A93794">
              <w:tc>
                <w:tcPr>
                  <w:tcW w:w="493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Strateška kontrola – proces, tipovi i razine kontrole.</w:t>
                  </w:r>
                </w:p>
              </w:tc>
              <w:tc>
                <w:tcPr>
                  <w:tcW w:w="630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14" w:type="dxa"/>
                </w:tcPr>
                <w:p w:rsidR="00F470F2" w:rsidRPr="00A93794" w:rsidRDefault="00B712F0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Prezentacija primjera iz strane gospodarske prakse.</w:t>
                  </w:r>
                </w:p>
              </w:tc>
              <w:tc>
                <w:tcPr>
                  <w:tcW w:w="551" w:type="dxa"/>
                </w:tcPr>
                <w:p w:rsidR="00F470F2" w:rsidRPr="00A93794" w:rsidRDefault="00F470F2" w:rsidP="00A93794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9379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610A" w:rsidRPr="00FB46BC" w:rsidTr="003A610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0F2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0F2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470F2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470F2">
              <w:rPr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B46BC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FB46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25213">
              <w:rPr>
                <w:rFonts w:ascii="Times New Roman" w:hAnsi="Times New Roman"/>
                <w:sz w:val="20"/>
                <w:szCs w:val="20"/>
                <w:u w:val="single"/>
              </w:rPr>
              <w:t>t</w:t>
            </w:r>
            <w:r w:rsidRPr="00B712F0">
              <w:rPr>
                <w:rFonts w:ascii="Times New Roman" w:hAnsi="Times New Roman"/>
                <w:sz w:val="20"/>
                <w:szCs w:val="20"/>
                <w:u w:val="single"/>
              </w:rPr>
              <w:t>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F470F2">
              <w:rPr>
                <w:b w:val="0"/>
                <w:sz w:val="20"/>
                <w:szCs w:val="20"/>
                <w:u w:val="single"/>
                <w:lang w:val="hr-HR"/>
              </w:rPr>
              <w:t xml:space="preserve">samostalni  zadaci 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FB46BC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3A610A" w:rsidRPr="00762C25" w:rsidRDefault="003A610A" w:rsidP="00762C2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</w:pPr>
            <w:r w:rsidRPr="00762C25">
              <w:rPr>
                <w:rFonts w:ascii="Times New Roman" w:eastAsia="MS Gothic" w:hAnsi="MS Gothic"/>
                <w:color w:val="FF0000"/>
                <w:sz w:val="20"/>
                <w:szCs w:val="20"/>
                <w:u w:val="single"/>
              </w:rPr>
              <w:t>☐</w:t>
            </w:r>
            <w:r w:rsidRPr="00762C2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 xml:space="preserve"> </w:t>
            </w:r>
            <w:r w:rsidR="00762C25" w:rsidRPr="00762C25">
              <w:rPr>
                <w:rFonts w:ascii="Times New Roman" w:hAnsi="Times New Roman"/>
                <w:color w:val="FF0000"/>
                <w:sz w:val="20"/>
                <w:szCs w:val="20"/>
                <w:u w:val="single"/>
              </w:rPr>
              <w:t>gostovanja iz prakse</w:t>
            </w:r>
          </w:p>
        </w:tc>
      </w:tr>
      <w:tr w:rsidR="003A610A" w:rsidRPr="00FB46BC" w:rsidTr="003A610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57031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Uvjeti za potpis je 70% pohađanja nastave (predavanja i vježbe). </w:t>
            </w:r>
            <w:r w:rsidR="00762C25"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Na nastavi studenti sudjeluju u rješavanju i diskusiji rezultata studija slučaja. Studenti imaju obvezu izrade i prezentiranja seminarskog rada te sudjelovanja u raspravi povezanoj sa temama prezentiranih seminarskih radova.</w:t>
            </w:r>
          </w:p>
        </w:tc>
      </w:tr>
      <w:tr w:rsidR="003A610A" w:rsidRPr="00FB46BC" w:rsidTr="00570316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FB46BC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6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F470F2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 ECTS</w:t>
            </w:r>
          </w:p>
        </w:tc>
        <w:tc>
          <w:tcPr>
            <w:tcW w:w="1194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3912FB" w:rsidP="003912FB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Studija slučaja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3912FB" w:rsidRDefault="003912F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3912FB">
              <w:rPr>
                <w:b w:val="0"/>
                <w:color w:val="FF0000"/>
                <w:sz w:val="20"/>
                <w:szCs w:val="20"/>
                <w:lang w:val="hr-HR"/>
              </w:rPr>
              <w:t>1 ECTS</w:t>
            </w:r>
          </w:p>
        </w:tc>
      </w:tr>
      <w:tr w:rsidR="003A610A" w:rsidRPr="00FB46BC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762C25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3912FB" w:rsidRDefault="003912FB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3912FB">
              <w:rPr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570316" w:rsidRPr="003912FB">
              <w:rPr>
                <w:b w:val="0"/>
                <w:color w:val="FF0000"/>
                <w:sz w:val="20"/>
                <w:szCs w:val="20"/>
                <w:lang w:val="hr-HR"/>
              </w:rPr>
              <w:t xml:space="preserve">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3A610A" w:rsidRPr="00FB46BC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B46BC">
              <w:rPr>
                <w:b w:val="0"/>
                <w:sz w:val="20"/>
                <w:szCs w:val="20"/>
                <w:lang w:val="hr-HR"/>
              </w:rPr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FB46BC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FB46BC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A610A" w:rsidRPr="00FB46BC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63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62C25" w:rsidRDefault="00762C25" w:rsidP="003A610A">
            <w:pPr>
              <w:pStyle w:val="FieldText"/>
              <w:rPr>
                <w:b w:val="0"/>
                <w:color w:val="FF0000"/>
                <w:sz w:val="20"/>
                <w:szCs w:val="20"/>
                <w:lang w:val="hr-HR"/>
              </w:rPr>
            </w:pPr>
            <w:r w:rsidRPr="00762C25">
              <w:rPr>
                <w:b w:val="0"/>
                <w:color w:val="FF0000"/>
                <w:sz w:val="20"/>
                <w:szCs w:val="20"/>
                <w:lang w:val="hr-HR"/>
              </w:rPr>
              <w:t>2 ECTS</w:t>
            </w:r>
          </w:p>
        </w:tc>
        <w:tc>
          <w:tcPr>
            <w:tcW w:w="1194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FB46BC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3A610A" w:rsidRPr="003912FB" w:rsidRDefault="003912FB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3912FB">
              <w:rPr>
                <w:rFonts w:ascii="Times New Roman" w:hAnsi="Times New Roman"/>
                <w:sz w:val="20"/>
                <w:szCs w:val="20"/>
              </w:rPr>
              <w:t>1 ECTS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570316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86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9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62C25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62C25" w:rsidRPr="00A56386" w:rsidRDefault="00762C25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Tijekom semestra održat će se dvije pisane provjere znanja (kolokvija). Za prolaz je potrebno imati više od </w:t>
            </w:r>
            <w:r w:rsidR="003912FB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5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0% točn</w:t>
            </w:r>
            <w:r w:rsidR="003912FB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ih odgovora na svakom kolokviju.</w:t>
            </w: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 xml:space="preserve"> Kolokviji nose 40% ukupne ocjene, prezentacija seminarskog  rada 40%, a studije slučaja 20% ukupne ocjene. </w:t>
            </w:r>
          </w:p>
          <w:p w:rsidR="003A610A" w:rsidRPr="00FB46BC" w:rsidRDefault="00762C25" w:rsidP="00762C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56386">
              <w:rPr>
                <w:rFonts w:ascii="Times New Roman" w:hAnsi="Times New Roman"/>
                <w:color w:val="FF0000"/>
                <w:sz w:val="20"/>
                <w:szCs w:val="20"/>
                <w:lang w:eastAsia="hr-HR"/>
              </w:rPr>
              <w:t>Bodovni pragovi za formiranje konačne ocjene su sljedeći: 50-60% dovoljan (2); 61-75% dobar (3); 76-85% vrlo dobar (4), 96-100% izvrstan (5).</w:t>
            </w:r>
          </w:p>
        </w:tc>
      </w:tr>
      <w:tr w:rsidR="003A610A" w:rsidRPr="00FB46BC" w:rsidTr="003A610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7031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Buble, M. (ur):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7031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3A610A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FB46BC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70316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Wheelen, T. L., Hunger, D.J.: Strategic management and business policy – entering 21st century global society, Adison-Wesley, Reading, Massachusetts, 1998.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570316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0A48C7" w:rsidRDefault="000A48C7" w:rsidP="0063232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</w:pPr>
            <w:r w:rsidRPr="000A48C7"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Hitt, M.A., Ireland, D., Hoskisson, R.E. (2011): Strategic Management: Competitiveness and Globalization, Cengage Learning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C8401B" w:rsidRDefault="000A48C7" w:rsidP="0063232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0A48C7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0A48C7" w:rsidRPr="00FB46BC" w:rsidTr="003A610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0A48C7" w:rsidRPr="00FB46BC" w:rsidRDefault="000A48C7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825213" w:rsidRDefault="000A48C7" w:rsidP="008252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1. </w:t>
            </w: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Grant M. Robert: </w:t>
            </w:r>
            <w:r w:rsidRPr="00825213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Contemporary Strategy Analysis: Concepts, Techniques, Applications, </w:t>
            </w: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>Blackwell Publishers Inc., Malden,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>Massachusetts, Third edition, 2001.</w:t>
            </w:r>
          </w:p>
          <w:p w:rsidR="000A48C7" w:rsidRDefault="000A48C7" w:rsidP="005703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2. Thompson A. Arthur, Jr. and Strickland J. A. III: </w:t>
            </w:r>
            <w:r w:rsidRPr="00825213">
              <w:rPr>
                <w:rFonts w:ascii="Times New Roman" w:hAnsi="Times New Roman"/>
                <w:i/>
                <w:iCs/>
                <w:sz w:val="20"/>
                <w:szCs w:val="20"/>
                <w:lang w:eastAsia="hr-HR"/>
              </w:rPr>
              <w:t xml:space="preserve">Strategic Management – Concepts and Cases, </w:t>
            </w: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>Irwin McGraw Hill, Boston,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r w:rsidRPr="00825213">
              <w:rPr>
                <w:rFonts w:ascii="Times New Roman" w:hAnsi="Times New Roman"/>
                <w:sz w:val="20"/>
                <w:szCs w:val="20"/>
                <w:lang w:eastAsia="hr-HR"/>
              </w:rPr>
              <w:t>Massachusetts, Tenth edition, 1998.</w:t>
            </w:r>
          </w:p>
          <w:p w:rsidR="000A48C7" w:rsidRPr="000A48C7" w:rsidRDefault="000A48C7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3. </w:t>
            </w:r>
            <w:hyperlink r:id="rId5" w:history="1">
              <w:r w:rsidRPr="000A48C7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Mintzberg</w:t>
              </w:r>
            </w:hyperlink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 H., </w:t>
            </w:r>
            <w:hyperlink r:id="rId6" w:history="1">
              <w:r w:rsidRPr="000A48C7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>Lampel</w:t>
              </w:r>
            </w:hyperlink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>, J.,</w:t>
            </w:r>
            <w:hyperlink r:id="rId7" w:history="1">
              <w:r w:rsidRPr="000A48C7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  <w:u w:val="none"/>
                </w:rPr>
                <w:t xml:space="preserve"> Ahlstrand</w:t>
              </w:r>
            </w:hyperlink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>, B. (2005): Strategy Safari: A Guided Tour Through The Wilds of Strategic Mangament, Free Press</w:t>
            </w:r>
          </w:p>
          <w:p w:rsidR="000A48C7" w:rsidRPr="000A48C7" w:rsidRDefault="000A48C7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>4. Talaja, A. (2012):Testing VRIN framework: resource value and rareness as sources of competitive advantage and above average performance, Journal of Contemporary Management Issues, 17(2), 51-64.</w:t>
            </w:r>
          </w:p>
          <w:p w:rsidR="000A48C7" w:rsidRPr="000A48C7" w:rsidRDefault="000A48C7" w:rsidP="000A48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>5. Porter, M.A.(1997): How Competitive Forces Shape Strategy, Harvard Business Review, July-August</w:t>
            </w:r>
          </w:p>
          <w:p w:rsidR="000A48C7" w:rsidRPr="00FB46BC" w:rsidRDefault="000A48C7" w:rsidP="000A48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48C7">
              <w:rPr>
                <w:rFonts w:ascii="Times New Roman" w:hAnsi="Times New Roman"/>
                <w:color w:val="FF0000"/>
                <w:sz w:val="20"/>
                <w:szCs w:val="20"/>
              </w:rPr>
              <w:t>6. Barney, J.B. (1991): Firm Resources and Sustained Competitive Advantage, Journal of Management, 17(1), 99-120.</w:t>
            </w:r>
          </w:p>
        </w:tc>
      </w:tr>
      <w:tr w:rsidR="000A48C7" w:rsidRPr="00FB46BC" w:rsidTr="003A610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0A48C7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0A48C7" w:rsidRPr="00FB46BC" w:rsidRDefault="000A48C7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0A48C7" w:rsidRPr="00FB46BC" w:rsidRDefault="000A48C7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0A48C7" w:rsidRPr="00FB46BC" w:rsidRDefault="000A48C7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0A48C7" w:rsidRPr="00FB46BC" w:rsidRDefault="000A48C7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FB46BC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0A48C7" w:rsidRPr="00FB46BC" w:rsidTr="003A610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A48C7" w:rsidRPr="00FB46BC" w:rsidRDefault="000A48C7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48C7" w:rsidRPr="00FB46BC" w:rsidRDefault="00C93B73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B46BC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A48C7" w:rsidRPr="00FB46BC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FB46BC">
              <w:rPr>
                <w:rFonts w:ascii="Times New Roman" w:hAnsi="Times New Roman"/>
                <w:sz w:val="20"/>
                <w:szCs w:val="20"/>
              </w:rPr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A48C7" w:rsidRPr="00FB46BC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FB46BC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C11DA" w:rsidRDefault="003C11D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p w:rsidR="003A610A" w:rsidRDefault="003A610A"/>
    <w:sectPr w:rsidR="003A610A" w:rsidSect="000205B4"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78"/>
  <w:displayHorizontalDrawingGridEvery w:val="2"/>
  <w:displayVerticalDrawingGridEvery w:val="2"/>
  <w:characterSpacingControl w:val="doNotCompress"/>
  <w:compat/>
  <w:rsids>
    <w:rsidRoot w:val="003A610A"/>
    <w:rsid w:val="000205B4"/>
    <w:rsid w:val="00087A17"/>
    <w:rsid w:val="000A48C7"/>
    <w:rsid w:val="000F2B59"/>
    <w:rsid w:val="001023E5"/>
    <w:rsid w:val="001E2773"/>
    <w:rsid w:val="00214016"/>
    <w:rsid w:val="00225529"/>
    <w:rsid w:val="0025139F"/>
    <w:rsid w:val="002A6E50"/>
    <w:rsid w:val="00360B1A"/>
    <w:rsid w:val="003912FB"/>
    <w:rsid w:val="003A610A"/>
    <w:rsid w:val="003C11DA"/>
    <w:rsid w:val="004C34A2"/>
    <w:rsid w:val="004E1800"/>
    <w:rsid w:val="00521169"/>
    <w:rsid w:val="00570316"/>
    <w:rsid w:val="005A3043"/>
    <w:rsid w:val="006307FF"/>
    <w:rsid w:val="006508AC"/>
    <w:rsid w:val="00664F78"/>
    <w:rsid w:val="007578C1"/>
    <w:rsid w:val="00762C25"/>
    <w:rsid w:val="00810A7A"/>
    <w:rsid w:val="00825213"/>
    <w:rsid w:val="00922086"/>
    <w:rsid w:val="009379C6"/>
    <w:rsid w:val="009D3D28"/>
    <w:rsid w:val="00A015BF"/>
    <w:rsid w:val="00A859CB"/>
    <w:rsid w:val="00A93794"/>
    <w:rsid w:val="00AA3234"/>
    <w:rsid w:val="00AC42FE"/>
    <w:rsid w:val="00AD6BEB"/>
    <w:rsid w:val="00AE72F3"/>
    <w:rsid w:val="00B373AE"/>
    <w:rsid w:val="00B46516"/>
    <w:rsid w:val="00B712F0"/>
    <w:rsid w:val="00C93B73"/>
    <w:rsid w:val="00C94FDA"/>
    <w:rsid w:val="00CA7ADE"/>
    <w:rsid w:val="00D21E84"/>
    <w:rsid w:val="00DC2994"/>
    <w:rsid w:val="00E935D1"/>
    <w:rsid w:val="00EA23E3"/>
    <w:rsid w:val="00F470F2"/>
    <w:rsid w:val="00FB4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3A610A"/>
    <w:rPr>
      <w:rFonts w:cs="Times New Roman"/>
      <w:b/>
      <w:bCs/>
    </w:rPr>
  </w:style>
  <w:style w:type="character" w:styleId="CommentReference">
    <w:name w:val="annotation reference"/>
    <w:basedOn w:val="DefaultParagraphFont"/>
    <w:semiHidden/>
    <w:rsid w:val="003A610A"/>
    <w:rPr>
      <w:rFonts w:cs="Times New Roman"/>
      <w:sz w:val="16"/>
      <w:szCs w:val="16"/>
    </w:rPr>
  </w:style>
  <w:style w:type="table" w:styleId="TableGrid">
    <w:name w:val="Table Grid"/>
    <w:basedOn w:val="TableNormal"/>
    <w:rsid w:val="00F470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A48C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imonandschuster.com/authors/Bruce-Ahlstrand/11518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monandschuster.com/authors/Joseph-Lampel/1499935" TargetMode="External"/><Relationship Id="rId5" Type="http://schemas.openxmlformats.org/officeDocument/2006/relationships/hyperlink" Target="http://www.simonandschuster.com/authors/Henry-Mintzberg/115184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sumic</cp:lastModifiedBy>
  <cp:revision>2</cp:revision>
  <cp:lastPrinted>2018-05-28T07:53:00Z</cp:lastPrinted>
  <dcterms:created xsi:type="dcterms:W3CDTF">2018-06-12T12:33:00Z</dcterms:created>
  <dcterms:modified xsi:type="dcterms:W3CDTF">2018-06-12T12:33:00Z</dcterms:modified>
</cp:coreProperties>
</file>